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0" w:rsidRDefault="00C848E8">
      <w:bookmarkStart w:id="0" w:name="_GoBack"/>
      <w:bookmarkEnd w:id="0"/>
      <w:r>
        <w:rPr>
          <w:rFonts w:ascii="Open Sans" w:hAnsi="Open Sans" w:cs="Open Sans"/>
          <w:noProof/>
          <w:color w:val="3B0083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-357502</wp:posOffset>
            </wp:positionV>
            <wp:extent cx="2256153" cy="8286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153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4F50" w:rsidRDefault="00C848E8">
      <w:pPr>
        <w:rPr>
          <w:rFonts w:ascii="Quicksand" w:hAnsi="Quicksand" w:cs="Open Sans"/>
          <w:b/>
          <w:color w:val="3B0083"/>
          <w:sz w:val="32"/>
          <w:szCs w:val="32"/>
        </w:rPr>
      </w:pPr>
      <w:r>
        <w:rPr>
          <w:rFonts w:ascii="Quicksand" w:hAnsi="Quicksand" w:cs="Open Sans"/>
          <w:b/>
          <w:color w:val="3B0083"/>
          <w:sz w:val="32"/>
          <w:szCs w:val="32"/>
        </w:rPr>
        <w:t xml:space="preserve">Making workplaces autism-friendly </w:t>
      </w:r>
    </w:p>
    <w:p w:rsidR="00FA4F50" w:rsidRDefault="00C848E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There are a number of changes that an employer can implement to make a workplace more autism-friendly. A workplace that recognises neurological </w:t>
      </w:r>
      <w:r>
        <w:rPr>
          <w:rFonts w:ascii="Open Sans" w:hAnsi="Open Sans" w:cs="Open Sans"/>
          <w:sz w:val="20"/>
          <w:szCs w:val="20"/>
        </w:rPr>
        <w:t xml:space="preserve">diversity is a workplace that is better for all workers. It will also benefit workers who may not be aware that they are on the autism spectrum, workers who do not have a formal diagnosis, or workers who do not have the confidence to ask for changes. </w:t>
      </w:r>
    </w:p>
    <w:p w:rsidR="00FA4F50" w:rsidRDefault="00C848E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Here</w:t>
      </w:r>
      <w:r>
        <w:rPr>
          <w:rFonts w:ascii="Open Sans" w:hAnsi="Open Sans" w:cs="Open Sans"/>
          <w:sz w:val="20"/>
          <w:szCs w:val="20"/>
        </w:rPr>
        <w:t xml:space="preserve"> are some suggestions for possible adjustments to the workplace to make it more autism-friendly:</w:t>
      </w:r>
    </w:p>
    <w:p w:rsidR="00FA4F50" w:rsidRDefault="00C848E8">
      <w:pPr>
        <w:pStyle w:val="ListParagraph"/>
        <w:numPr>
          <w:ilvl w:val="0"/>
          <w:numId w:val="1"/>
        </w:numPr>
      </w:pPr>
      <w:r>
        <w:t>clear and logical rules and expectations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relaxation space in the workplace: e.g. a quiet room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reduction in sensory distraction/overload in the workplace: e.</w:t>
      </w:r>
      <w:r>
        <w:rPr>
          <w:rFonts w:ascii="Open Sans" w:hAnsi="Open Sans" w:cs="Open Sans"/>
          <w:sz w:val="20"/>
          <w:szCs w:val="20"/>
        </w:rPr>
        <w:t xml:space="preserve">g. maximise natural light, enable easy control of light and temperature, reduce strong smells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information about autism, and about support services, available so that all workers can access it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training for managers and others about autism, including recog</w:t>
      </w:r>
      <w:r>
        <w:rPr>
          <w:rFonts w:ascii="Open Sans" w:hAnsi="Open Sans" w:cs="Open Sans"/>
          <w:sz w:val="20"/>
          <w:szCs w:val="20"/>
        </w:rPr>
        <w:t xml:space="preserve">nising autistic positives and skills 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 instructions and policies to be written and communicated clearly and accurately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tools to assist personal work organisation, for example visual timetables, organiser apps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that only objective criteria are used for </w:t>
      </w:r>
      <w:r>
        <w:rPr>
          <w:rFonts w:ascii="Open Sans" w:hAnsi="Open Sans" w:cs="Open Sans"/>
          <w:sz w:val="20"/>
          <w:szCs w:val="20"/>
        </w:rPr>
        <w:t xml:space="preserve">assessment/promotion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that work schedules are adhered to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inclusion</w:t>
      </w:r>
      <w:proofErr w:type="gramEnd"/>
      <w:r>
        <w:rPr>
          <w:rFonts w:ascii="Open Sans" w:hAnsi="Open Sans" w:cs="Open Sans"/>
          <w:sz w:val="20"/>
          <w:szCs w:val="20"/>
        </w:rPr>
        <w:t xml:space="preserve"> of autism in harassment and bullying policies, to minimise harassment and bullying of autistic workers and so that managers or employees who bully or discriminate against autistic workers </w:t>
      </w:r>
      <w:r>
        <w:rPr>
          <w:rFonts w:ascii="Open Sans" w:hAnsi="Open Sans" w:cs="Open Sans"/>
          <w:sz w:val="20"/>
          <w:szCs w:val="20"/>
        </w:rPr>
        <w:t xml:space="preserve">are dealt with appropriately. </w:t>
      </w:r>
    </w:p>
    <w:p w:rsidR="00FA4F50" w:rsidRDefault="00C848E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Reasonable adjustments for individual autistic workers might include: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paid time off when needed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fixed hours rather than variable shifts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reducing specific sensory stimuli in the workplace, e.g. locating that individual’s wo</w:t>
      </w:r>
      <w:r>
        <w:rPr>
          <w:rFonts w:ascii="Open Sans" w:hAnsi="Open Sans" w:cs="Open Sans"/>
          <w:sz w:val="20"/>
          <w:szCs w:val="20"/>
        </w:rPr>
        <w:t xml:space="preserve">rkstation in a quieter or less bright part of the office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change of work location, for example to be nearer home, or nearer support facilities, or to a work location which is quieter or less over-stimulating 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extra breaks to enable relaxation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providing a</w:t>
      </w:r>
      <w:r>
        <w:rPr>
          <w:rFonts w:ascii="Open Sans" w:hAnsi="Open Sans" w:cs="Open Sans"/>
          <w:sz w:val="20"/>
          <w:szCs w:val="20"/>
        </w:rPr>
        <w:t xml:space="preserve"> mentor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individual support where schedules are unavoidably disrupted and when changes are introduced 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adjustment to the way in which assessments are carried out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clear routine and work schedule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personal workstation (rather than sharing a workstation</w:t>
      </w:r>
      <w:r>
        <w:rPr>
          <w:rFonts w:ascii="Open Sans" w:hAnsi="Open Sans" w:cs="Open Sans"/>
          <w:sz w:val="20"/>
          <w:szCs w:val="20"/>
        </w:rPr>
        <w:t xml:space="preserve"> or ‘hot-desking’)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relaxation of triggers for disciplinary action for matters such as sickness absence or mistakes arising from executive function impairment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additional training time off for treatment/appointments, as part of a policy for disability leav</w:t>
      </w:r>
      <w:r>
        <w:rPr>
          <w:rFonts w:ascii="Open Sans" w:hAnsi="Open Sans" w:cs="Open Sans"/>
          <w:sz w:val="20"/>
          <w:szCs w:val="20"/>
        </w:rPr>
        <w:t xml:space="preserve">e </w:t>
      </w:r>
    </w:p>
    <w:p w:rsidR="00FA4F50" w:rsidRDefault="00C848E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re-allocating</w:t>
      </w:r>
      <w:proofErr w:type="gramEnd"/>
      <w:r>
        <w:rPr>
          <w:rFonts w:ascii="Open Sans" w:hAnsi="Open Sans" w:cs="Open Sans"/>
          <w:sz w:val="20"/>
          <w:szCs w:val="20"/>
        </w:rPr>
        <w:t xml:space="preserve"> some work to colleagues, with their agreement. </w:t>
      </w:r>
    </w:p>
    <w:p w:rsidR="00FA4F50" w:rsidRDefault="00C848E8">
      <w:r>
        <w:rPr>
          <w:rFonts w:ascii="Open Sans" w:hAnsi="Open Sans" w:cs="Open Sans"/>
          <w:sz w:val="20"/>
          <w:szCs w:val="20"/>
        </w:rPr>
        <w:t xml:space="preserve">Access </w:t>
      </w:r>
      <w:proofErr w:type="gramStart"/>
      <w:r>
        <w:rPr>
          <w:rFonts w:ascii="Open Sans" w:hAnsi="Open Sans" w:cs="Open Sans"/>
          <w:sz w:val="20"/>
          <w:szCs w:val="20"/>
        </w:rPr>
        <w:t>To</w:t>
      </w:r>
      <w:proofErr w:type="gramEnd"/>
      <w:r>
        <w:rPr>
          <w:rFonts w:ascii="Open Sans" w:hAnsi="Open Sans" w:cs="Open Sans"/>
          <w:sz w:val="20"/>
          <w:szCs w:val="20"/>
        </w:rPr>
        <w:t xml:space="preserve"> Work funding may be available for some of these measures. You can see more information about this here: </w:t>
      </w:r>
      <w:hyperlink r:id="rId8" w:history="1">
        <w:r>
          <w:rPr>
            <w:rStyle w:val="Hyperlink"/>
            <w:rFonts w:ascii="Open Sans" w:hAnsi="Open Sans" w:cs="Open Sans"/>
            <w:sz w:val="20"/>
            <w:szCs w:val="20"/>
          </w:rPr>
          <w:t>https://www.gov.uk/access-towork/overview</w:t>
        </w:r>
      </w:hyperlink>
      <w:r>
        <w:rPr>
          <w:rFonts w:ascii="Open Sans" w:hAnsi="Open Sans" w:cs="Open Sans"/>
          <w:sz w:val="20"/>
          <w:szCs w:val="20"/>
        </w:rPr>
        <w:t>.</w:t>
      </w:r>
    </w:p>
    <w:sectPr w:rsidR="00FA4F50">
      <w:footerReference w:type="default" r:id="rId9"/>
      <w:pgSz w:w="11906" w:h="16838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E8" w:rsidRDefault="00C848E8">
      <w:pPr>
        <w:spacing w:after="0" w:line="240" w:lineRule="auto"/>
      </w:pPr>
      <w:r>
        <w:separator/>
      </w:r>
    </w:p>
  </w:endnote>
  <w:endnote w:type="continuationSeparator" w:id="0">
    <w:p w:rsidR="00C848E8" w:rsidRDefault="00C8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48" w:rsidRDefault="00C848E8">
    <w:pPr>
      <w:pStyle w:val="ListParagraph"/>
      <w:jc w:val="center"/>
    </w:pPr>
    <w:r>
      <w:rPr>
        <w:sz w:val="18"/>
        <w:szCs w:val="18"/>
      </w:rPr>
      <w:t xml:space="preserve">Abridged from </w:t>
    </w:r>
    <w:hyperlink r:id="rId1" w:history="1">
      <w:r>
        <w:rPr>
          <w:rStyle w:val="Hyperlink"/>
          <w:sz w:val="18"/>
          <w:szCs w:val="18"/>
        </w:rPr>
        <w:t>https://www.tuc.org.uk/sites/default/files/Autism.pdf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E8" w:rsidRDefault="00C848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48E8" w:rsidRDefault="00C8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F068C"/>
    <w:multiLevelType w:val="multilevel"/>
    <w:tmpl w:val="BA0834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4F50"/>
    <w:rsid w:val="00C848E8"/>
    <w:rsid w:val="00E235C1"/>
    <w:rsid w:val="00F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265F3-A2A9-4E62-877A-4BD9817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ccess-towork/over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c.org.uk/sites/default/files/Autism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Brooks</dc:creator>
  <dc:description/>
  <cp:lastModifiedBy>Katherine</cp:lastModifiedBy>
  <cp:revision>2</cp:revision>
  <dcterms:created xsi:type="dcterms:W3CDTF">2020-05-22T13:36:00Z</dcterms:created>
  <dcterms:modified xsi:type="dcterms:W3CDTF">2020-05-22T13:36:00Z</dcterms:modified>
</cp:coreProperties>
</file>